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40" w:rsidRDefault="00084548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 xml:space="preserve">Jak </w:t>
      </w:r>
      <w:r w:rsidR="005A0DC4">
        <w:rPr>
          <w:rFonts w:ascii="Segoe UI" w:hAnsi="Segoe UI" w:cs="Segoe UI"/>
          <w:b/>
          <w:color w:val="000000"/>
        </w:rPr>
        <w:t xml:space="preserve">uplatnit práva, vyplývající ze zpracování osobních údajů </w:t>
      </w:r>
      <w:r w:rsidR="0044392B">
        <w:rPr>
          <w:rFonts w:ascii="Segoe UI" w:hAnsi="Segoe UI" w:cs="Segoe UI"/>
          <w:b/>
          <w:color w:val="000000"/>
        </w:rPr>
        <w:t>Obcí</w:t>
      </w:r>
      <w:r w:rsidR="005A0DC4">
        <w:rPr>
          <w:rFonts w:ascii="Segoe UI" w:hAnsi="Segoe UI" w:cs="Segoe UI"/>
          <w:b/>
          <w:color w:val="000000"/>
        </w:rPr>
        <w:t>?</w:t>
      </w:r>
      <w:r>
        <w:rPr>
          <w:rFonts w:ascii="Segoe UI" w:hAnsi="Segoe UI" w:cs="Segoe UI"/>
          <w:b/>
          <w:color w:val="000000"/>
        </w:rPr>
        <w:t xml:space="preserve"> </w:t>
      </w:r>
    </w:p>
    <w:p w:rsidR="005A0DC4" w:rsidRDefault="005A0DC4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3B1340" w:rsidRPr="003B1340" w:rsidRDefault="00635B49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635B49">
        <w:rPr>
          <w:rFonts w:ascii="Segoe UI" w:hAnsi="Segoe UI" w:cs="Segoe UI"/>
          <w:color w:val="000000"/>
        </w:rPr>
        <w:t>Obec Vlačice, Vlačice – Výčapy 38, 286</w:t>
      </w:r>
      <w:r>
        <w:rPr>
          <w:rFonts w:ascii="Segoe UI" w:hAnsi="Segoe UI" w:cs="Segoe UI"/>
          <w:color w:val="000000"/>
        </w:rPr>
        <w:t xml:space="preserve"> 01 Čáslav</w:t>
      </w:r>
      <w:r w:rsidR="008644C5">
        <w:rPr>
          <w:rFonts w:ascii="Segoe UI" w:hAnsi="Segoe UI" w:cs="Segoe UI"/>
          <w:color w:val="000000"/>
        </w:rPr>
        <w:t xml:space="preserve"> (dále jen </w:t>
      </w:r>
      <w:r w:rsidR="0044392B">
        <w:rPr>
          <w:rFonts w:ascii="Segoe UI" w:hAnsi="Segoe UI" w:cs="Segoe UI"/>
          <w:color w:val="000000"/>
        </w:rPr>
        <w:t>Obec</w:t>
      </w:r>
      <w:r w:rsidR="008644C5">
        <w:rPr>
          <w:rFonts w:ascii="Segoe UI" w:hAnsi="Segoe UI" w:cs="Segoe UI"/>
          <w:color w:val="000000"/>
        </w:rPr>
        <w:t>)</w:t>
      </w:r>
      <w:r w:rsidR="003B1340" w:rsidRPr="003B1340">
        <w:rPr>
          <w:rFonts w:ascii="Segoe UI" w:hAnsi="Segoe UI" w:cs="Segoe UI"/>
          <w:color w:val="000000"/>
        </w:rPr>
        <w:t>,  jako správce osobních údajů, zpracovává údaje o fyzických osobách na základě zákonné povinnosti.</w:t>
      </w:r>
    </w:p>
    <w:p w:rsidR="008644C5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8644C5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Každá fyzická osoba se může 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obrátit s žádosti o sdělení, zda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o ní zpracovává osobní údaje. Toto právo je možné uplatnit jednou ročně, odpovědi na častější žádosti mohou být </w:t>
      </w:r>
      <w:r w:rsidR="0044392B">
        <w:rPr>
          <w:rFonts w:ascii="Segoe UI" w:hAnsi="Segoe UI" w:cs="Segoe UI"/>
          <w:color w:val="000000"/>
        </w:rPr>
        <w:t>Obcí</w:t>
      </w:r>
      <w:r w:rsidRPr="003B1340">
        <w:rPr>
          <w:rFonts w:ascii="Segoe UI" w:hAnsi="Segoe UI" w:cs="Segoe UI"/>
          <w:color w:val="000000"/>
        </w:rPr>
        <w:t xml:space="preserve"> zpoplatněny. </w:t>
      </w:r>
    </w:p>
    <w:p w:rsidR="003B1340" w:rsidRPr="0044392B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3B1340">
        <w:rPr>
          <w:rFonts w:ascii="Segoe UI" w:hAnsi="Segoe UI" w:cs="Segoe UI"/>
          <w:color w:val="000000"/>
        </w:rPr>
        <w:t xml:space="preserve"> </w:t>
      </w:r>
    </w:p>
    <w:p w:rsidR="003B1340" w:rsidRDefault="0044392B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Občan</w:t>
      </w:r>
      <w:r w:rsidR="003B1340" w:rsidRPr="003B1340">
        <w:rPr>
          <w:rFonts w:ascii="Segoe UI" w:hAnsi="Segoe UI" w:cs="Segoe UI"/>
          <w:color w:val="000000"/>
        </w:rPr>
        <w:t xml:space="preserve"> (</w:t>
      </w:r>
      <w:r>
        <w:rPr>
          <w:rFonts w:ascii="Segoe UI" w:hAnsi="Segoe UI" w:cs="Segoe UI"/>
          <w:color w:val="000000"/>
        </w:rPr>
        <w:t>fyzická osoba</w:t>
      </w:r>
      <w:r w:rsidR="003B1340" w:rsidRPr="003B1340">
        <w:rPr>
          <w:rFonts w:ascii="Segoe UI" w:hAnsi="Segoe UI" w:cs="Segoe UI"/>
          <w:color w:val="000000"/>
        </w:rPr>
        <w:t>), o n</w:t>
      </w:r>
      <w:r>
        <w:rPr>
          <w:rFonts w:ascii="Segoe UI" w:hAnsi="Segoe UI" w:cs="Segoe UI"/>
          <w:color w:val="000000"/>
        </w:rPr>
        <w:t>ěmž</w:t>
      </w:r>
      <w:r w:rsidR="003B1340" w:rsidRPr="003B1340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Obec</w:t>
      </w:r>
      <w:r w:rsidR="003B1340" w:rsidRPr="003B1340">
        <w:rPr>
          <w:rFonts w:ascii="Segoe UI" w:hAnsi="Segoe UI" w:cs="Segoe UI"/>
          <w:color w:val="000000"/>
        </w:rPr>
        <w:t xml:space="preserve"> zpracovává osobní údaje</w:t>
      </w:r>
      <w:r w:rsidR="008644C5">
        <w:rPr>
          <w:rFonts w:ascii="Segoe UI" w:hAnsi="Segoe UI" w:cs="Segoe UI"/>
          <w:color w:val="000000"/>
        </w:rPr>
        <w:t>,</w:t>
      </w:r>
      <w:r w:rsidR="003B1340" w:rsidRPr="003B1340">
        <w:rPr>
          <w:rFonts w:ascii="Segoe UI" w:hAnsi="Segoe UI" w:cs="Segoe UI"/>
          <w:color w:val="000000"/>
        </w:rPr>
        <w:t xml:space="preserve"> má podle právních předpisů o ochraně osobních údajů následující práva: </w:t>
      </w:r>
    </w:p>
    <w:p w:rsidR="0044392B" w:rsidRPr="0044392B" w:rsidRDefault="0044392B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přístup k osobním údajům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opravu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výmaz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omezení zpracování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přenositelnost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vznést námitku proti zpracování osobních údajů</w:t>
      </w:r>
      <w:r w:rsidR="00084548">
        <w:rPr>
          <w:rFonts w:ascii="Segoe UI" w:hAnsi="Segoe UI" w:cs="Segoe UI"/>
          <w:color w:val="000000"/>
        </w:rPr>
        <w:t>,</w:t>
      </w:r>
      <w:r w:rsidR="003B1340" w:rsidRPr="003B1340">
        <w:rPr>
          <w:rFonts w:ascii="Segoe UI" w:hAnsi="Segoe UI" w:cs="Segoe UI"/>
          <w:color w:val="000000"/>
        </w:rPr>
        <w:t xml:space="preserve"> 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odvolání poskytnutého souhlasu se zpracováním osobních údajů</w:t>
      </w:r>
      <w:r>
        <w:rPr>
          <w:rFonts w:ascii="Segoe UI" w:hAnsi="Segoe UI" w:cs="Segoe UI"/>
          <w:color w:val="000000"/>
        </w:rPr>
        <w:t>.</w:t>
      </w:r>
    </w:p>
    <w:p w:rsidR="008644C5" w:rsidRPr="0044392B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B1340" w:rsidRP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Každé z těchto práv má však určitá omezení či výjimky.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každou žádost o uplatnění některého práva oprávněnou fyzickou osobou posoudí ve vztahu k těmto omezením</w:t>
      </w:r>
      <w:r w:rsidR="008644C5">
        <w:rPr>
          <w:rFonts w:ascii="Segoe UI" w:hAnsi="Segoe UI" w:cs="Segoe UI"/>
          <w:color w:val="000000"/>
        </w:rPr>
        <w:t>,</w:t>
      </w:r>
      <w:r w:rsidRPr="003B1340">
        <w:rPr>
          <w:rFonts w:ascii="Segoe UI" w:hAnsi="Segoe UI" w:cs="Segoe UI"/>
          <w:color w:val="000000"/>
        </w:rPr>
        <w:t xml:space="preserve"> a na žádost odpoví ve lhůtě 30 dnů od doručení žádosti.   </w:t>
      </w:r>
    </w:p>
    <w:p w:rsidR="003B1340" w:rsidRPr="0044392B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3B1340">
        <w:rPr>
          <w:rFonts w:ascii="Segoe UI" w:hAnsi="Segoe UI" w:cs="Segoe UI"/>
          <w:color w:val="000000"/>
        </w:rPr>
        <w:t> </w:t>
      </w:r>
    </w:p>
    <w:p w:rsid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je možné se k uplatnění uvedených práv v oblasti osobních údajů obracet prostřednictvím písemné žádosti, doručené do </w:t>
      </w:r>
      <w:r w:rsidRPr="00635B49">
        <w:rPr>
          <w:rFonts w:ascii="Segoe UI" w:hAnsi="Segoe UI" w:cs="Segoe UI"/>
          <w:color w:val="000000"/>
        </w:rPr>
        <w:t xml:space="preserve">podatelny </w:t>
      </w:r>
      <w:r w:rsidR="0044392B" w:rsidRPr="00635B49">
        <w:rPr>
          <w:rFonts w:ascii="Segoe UI" w:hAnsi="Segoe UI" w:cs="Segoe UI"/>
          <w:color w:val="000000"/>
        </w:rPr>
        <w:t>Obce,</w:t>
      </w:r>
      <w:r w:rsidRPr="00635B49">
        <w:rPr>
          <w:rFonts w:ascii="Segoe UI" w:hAnsi="Segoe UI" w:cs="Segoe UI"/>
          <w:color w:val="000000"/>
        </w:rPr>
        <w:t xml:space="preserve"> nebo přímo do </w:t>
      </w:r>
      <w:r w:rsidR="00635B49" w:rsidRPr="00635B49">
        <w:rPr>
          <w:rFonts w:ascii="Segoe UI" w:hAnsi="Segoe UI" w:cs="Segoe UI"/>
          <w:color w:val="000000"/>
        </w:rPr>
        <w:t>kanceláře</w:t>
      </w:r>
      <w:r w:rsidRPr="00635B49">
        <w:rPr>
          <w:rFonts w:ascii="Segoe UI" w:hAnsi="Segoe UI" w:cs="Segoe UI"/>
          <w:color w:val="000000"/>
        </w:rPr>
        <w:t xml:space="preserve"> </w:t>
      </w:r>
      <w:r w:rsidR="0044392B" w:rsidRPr="00635B49">
        <w:rPr>
          <w:rFonts w:ascii="Segoe UI" w:hAnsi="Segoe UI" w:cs="Segoe UI"/>
          <w:color w:val="000000"/>
        </w:rPr>
        <w:t xml:space="preserve">starosty Obce, </w:t>
      </w:r>
      <w:r w:rsidRPr="00635B49">
        <w:rPr>
          <w:rFonts w:ascii="Segoe UI" w:hAnsi="Segoe UI" w:cs="Segoe UI"/>
          <w:color w:val="000000"/>
        </w:rPr>
        <w:t xml:space="preserve">nebo poštou na adresu </w:t>
      </w:r>
      <w:r w:rsidR="0044392B" w:rsidRPr="00635B49">
        <w:rPr>
          <w:rFonts w:ascii="Segoe UI" w:hAnsi="Segoe UI" w:cs="Segoe UI"/>
          <w:color w:val="000000"/>
        </w:rPr>
        <w:t>Obce,</w:t>
      </w:r>
      <w:r w:rsidRPr="00635B49">
        <w:rPr>
          <w:rFonts w:ascii="Segoe UI" w:hAnsi="Segoe UI" w:cs="Segoe UI"/>
          <w:color w:val="000000"/>
        </w:rPr>
        <w:t xml:space="preserve"> nebo pověřenci pro ochranu</w:t>
      </w:r>
      <w:r w:rsidRPr="003B1340">
        <w:rPr>
          <w:rFonts w:ascii="Segoe UI" w:hAnsi="Segoe UI" w:cs="Segoe UI"/>
          <w:color w:val="000000"/>
        </w:rPr>
        <w:t xml:space="preserve"> osobních údajů, jehož kontakt je uveden na webových stránkách </w:t>
      </w:r>
      <w:r w:rsidR="0044392B">
        <w:rPr>
          <w:rFonts w:ascii="Segoe UI" w:hAnsi="Segoe UI" w:cs="Segoe UI"/>
          <w:color w:val="000000"/>
        </w:rPr>
        <w:t>Obce</w:t>
      </w:r>
      <w:r w:rsidRPr="003B1340">
        <w:rPr>
          <w:rFonts w:ascii="Segoe UI" w:hAnsi="Segoe UI" w:cs="Segoe UI"/>
          <w:color w:val="000000"/>
        </w:rPr>
        <w:t xml:space="preserve">. </w:t>
      </w:r>
    </w:p>
    <w:p w:rsidR="008644C5" w:rsidRPr="0044392B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B1340" w:rsidRP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Výše uvedenými způsoby se mohou fyzické osoby  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  obracet také v případě údajů zpracovávaných na základě uděleného souhlasu, pokud se rozhodnou svůj souhlas odvolat.  </w:t>
      </w:r>
    </w:p>
    <w:p w:rsidR="00FE7115" w:rsidRDefault="00FE7115">
      <w:bookmarkStart w:id="0" w:name="_GoBack"/>
      <w:bookmarkEnd w:id="0"/>
    </w:p>
    <w:sectPr w:rsidR="00FE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3D8A"/>
    <w:multiLevelType w:val="hybridMultilevel"/>
    <w:tmpl w:val="7EA06582"/>
    <w:lvl w:ilvl="0" w:tplc="7AF81554">
      <w:numFmt w:val="bullet"/>
      <w:lvlText w:val="·"/>
      <w:lvlJc w:val="left"/>
      <w:pPr>
        <w:ind w:left="883" w:hanging="645"/>
      </w:pPr>
      <w:rPr>
        <w:rFonts w:ascii="Segoe UI" w:eastAsia="Times New Roman" w:hAnsi="Segoe UI" w:cs="Segoe UI" w:hint="default"/>
        <w:color w:val="555555"/>
      </w:rPr>
    </w:lvl>
    <w:lvl w:ilvl="1" w:tplc="040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68F01011"/>
    <w:multiLevelType w:val="hybridMultilevel"/>
    <w:tmpl w:val="16F62396"/>
    <w:lvl w:ilvl="0" w:tplc="0405000D">
      <w:start w:val="1"/>
      <w:numFmt w:val="bullet"/>
      <w:lvlText w:val=""/>
      <w:lvlJc w:val="left"/>
      <w:pPr>
        <w:ind w:left="9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40"/>
    <w:rsid w:val="00084548"/>
    <w:rsid w:val="00363ED5"/>
    <w:rsid w:val="003B1340"/>
    <w:rsid w:val="0044392B"/>
    <w:rsid w:val="005A0DC4"/>
    <w:rsid w:val="00635B49"/>
    <w:rsid w:val="008644C5"/>
    <w:rsid w:val="00963C79"/>
    <w:rsid w:val="00ED663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3E0A4-3982-47DB-9D8F-3B5A04F4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Láznička</dc:creator>
  <cp:lastModifiedBy>Ucetni</cp:lastModifiedBy>
  <cp:revision>3</cp:revision>
  <cp:lastPrinted>2018-05-21T07:13:00Z</cp:lastPrinted>
  <dcterms:created xsi:type="dcterms:W3CDTF">2018-05-21T07:14:00Z</dcterms:created>
  <dcterms:modified xsi:type="dcterms:W3CDTF">2018-05-21T07:14:00Z</dcterms:modified>
</cp:coreProperties>
</file>